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293" w:rsidRDefault="00931293" w:rsidP="00931293">
      <w:pPr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Проект</w:t>
      </w:r>
    </w:p>
    <w:p w:rsidR="00931293" w:rsidRDefault="00931293" w:rsidP="00931293">
      <w:pPr>
        <w:jc w:val="right"/>
        <w:rPr>
          <w:rFonts w:ascii="Times New Roman" w:hAnsi="Times New Roman"/>
          <w:b/>
          <w:sz w:val="28"/>
          <w:szCs w:val="28"/>
        </w:rPr>
      </w:pPr>
    </w:p>
    <w:p w:rsidR="009B4905" w:rsidRDefault="009B4905" w:rsidP="009B49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</w:t>
      </w:r>
      <w:r w:rsidR="001A0AAD">
        <w:rPr>
          <w:rFonts w:ascii="Times New Roman" w:hAnsi="Times New Roman"/>
          <w:b/>
          <w:sz w:val="28"/>
          <w:szCs w:val="28"/>
        </w:rPr>
        <w:t>ный прогноз Калужской области</w:t>
      </w:r>
    </w:p>
    <w:p w:rsidR="009B4905" w:rsidRDefault="001A0AAD" w:rsidP="009B49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9B4905">
        <w:rPr>
          <w:rFonts w:ascii="Times New Roman" w:hAnsi="Times New Roman"/>
          <w:b/>
          <w:sz w:val="28"/>
          <w:szCs w:val="28"/>
        </w:rPr>
        <w:t>долгосрочный период</w:t>
      </w:r>
    </w:p>
    <w:p w:rsidR="009B4905" w:rsidRDefault="009B4905" w:rsidP="009B4905">
      <w:pPr>
        <w:spacing w:after="120"/>
        <w:rPr>
          <w:rFonts w:ascii="Times New Roman" w:hAnsi="Times New Roman"/>
          <w:b/>
          <w:szCs w:val="26"/>
        </w:rPr>
      </w:pPr>
    </w:p>
    <w:p w:rsidR="009B4905" w:rsidRDefault="009B4905" w:rsidP="009B4905">
      <w:pPr>
        <w:spacing w:after="120"/>
        <w:ind w:firstLine="851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I.</w:t>
      </w:r>
      <w:r>
        <w:rPr>
          <w:rFonts w:ascii="Times New Roman" w:hAnsi="Times New Roman"/>
          <w:b/>
          <w:szCs w:val="26"/>
        </w:rPr>
        <w:tab/>
        <w:t>Основные подходы к формированию бюджетной политики Калужской области на долгосрочный период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proofErr w:type="gramStart"/>
      <w:r>
        <w:rPr>
          <w:rFonts w:ascii="Times New Roman" w:hAnsi="Times New Roman"/>
          <w:szCs w:val="26"/>
        </w:rPr>
        <w:t>Бюджетный прогноз Калужской области на долгосрочный период (далее – Долгосрочный прогноз) разработан в соответствии с нормами Бюджетного кодекса Российской Федерации и постановлением Правительства Калужской области от                    28 августа 2015 г. № 493 «О Порядке разработки и утверждения бюджетного прогноза Калужской области на долгосрочный период» и охватывает двенадцатилетний период, начиная с 2017 года.</w:t>
      </w:r>
      <w:proofErr w:type="gramEnd"/>
    </w:p>
    <w:p w:rsidR="009B4905" w:rsidRPr="009B4905" w:rsidRDefault="009B4905" w:rsidP="009B4905">
      <w:pPr>
        <w:spacing w:after="120"/>
        <w:ind w:firstLine="709"/>
        <w:jc w:val="both"/>
        <w:rPr>
          <w:rFonts w:ascii="Calibri" w:hAnsi="Calibri"/>
          <w:sz w:val="22"/>
          <w:szCs w:val="22"/>
        </w:rPr>
      </w:pPr>
      <w:r>
        <w:rPr>
          <w:rFonts w:ascii="Times New Roman" w:hAnsi="Times New Roman"/>
          <w:szCs w:val="26"/>
        </w:rPr>
        <w:t>Базовой целью долгосрочного бюджетного планирования является обеспечение предсказуемости развития областного и консолидированного бюджетов Калужской области, что позволяет оценивать долгосрочные тенденции изменений объема и структуры доходов и расходов бюджетов, структуры и условий привлечения и обслуживания заимствований, межбюджетного регулирования, а также выработать на их основе соответствующие меры, направленные на повышение эффективности функционирования бюджетной системы, ее роли в стимулировании социально-экономического развития области и решении стратегических задач.</w:t>
      </w:r>
      <w:r>
        <w:t xml:space="preserve"> 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Достижение указанной цели может быть обеспечено при наличии эффективной и сбалансированной экономики, а также эффективной деятельности органов исполнительной власти Калужской области, что требует обоснованной оценки ресурсного потенциала области.</w:t>
      </w:r>
    </w:p>
    <w:p w:rsidR="008E338C" w:rsidRPr="004F228A" w:rsidRDefault="009B4905" w:rsidP="004F228A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Текущая ситуация с исполнением консолидированного бюджета Калужской области характеризуется следующими данными. </w:t>
      </w:r>
    </w:p>
    <w:p w:rsidR="004F228A" w:rsidRPr="004F228A" w:rsidRDefault="004F228A" w:rsidP="004F228A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4F228A">
        <w:rPr>
          <w:rFonts w:ascii="Times New Roman" w:hAnsi="Times New Roman"/>
          <w:szCs w:val="26"/>
        </w:rPr>
        <w:t>За 2016 год в консолидированный бюджет Калужской области поступило доходов 60</w:t>
      </w:r>
      <w:r>
        <w:rPr>
          <w:rFonts w:ascii="Times New Roman" w:hAnsi="Times New Roman"/>
          <w:szCs w:val="26"/>
        </w:rPr>
        <w:t xml:space="preserve"> </w:t>
      </w:r>
      <w:r w:rsidRPr="004F228A">
        <w:rPr>
          <w:rFonts w:ascii="Times New Roman" w:hAnsi="Times New Roman"/>
          <w:szCs w:val="26"/>
        </w:rPr>
        <w:t>935,4 млн</w:t>
      </w:r>
      <w:r>
        <w:rPr>
          <w:rFonts w:ascii="Times New Roman" w:hAnsi="Times New Roman"/>
          <w:szCs w:val="26"/>
        </w:rPr>
        <w:t>.</w:t>
      </w:r>
      <w:r w:rsidRPr="004F228A">
        <w:rPr>
          <w:rFonts w:ascii="Times New Roman" w:hAnsi="Times New Roman"/>
          <w:szCs w:val="26"/>
        </w:rPr>
        <w:t xml:space="preserve"> рублей, что на 5</w:t>
      </w:r>
      <w:r>
        <w:rPr>
          <w:rFonts w:ascii="Times New Roman" w:hAnsi="Times New Roman"/>
          <w:szCs w:val="26"/>
        </w:rPr>
        <w:t xml:space="preserve"> </w:t>
      </w:r>
      <w:r w:rsidRPr="004F228A">
        <w:rPr>
          <w:rFonts w:ascii="Times New Roman" w:hAnsi="Times New Roman"/>
          <w:szCs w:val="26"/>
        </w:rPr>
        <w:t>972,5 млн</w:t>
      </w:r>
      <w:r>
        <w:rPr>
          <w:rFonts w:ascii="Times New Roman" w:hAnsi="Times New Roman"/>
          <w:szCs w:val="26"/>
        </w:rPr>
        <w:t>.</w:t>
      </w:r>
      <w:r w:rsidRPr="004F228A">
        <w:rPr>
          <w:rFonts w:ascii="Times New Roman" w:hAnsi="Times New Roman"/>
          <w:szCs w:val="26"/>
        </w:rPr>
        <w:t xml:space="preserve"> рублей больше по сравнению с 2015 годом. Темп роста составил 110,9</w:t>
      </w:r>
      <w:r>
        <w:rPr>
          <w:rFonts w:ascii="Times New Roman" w:hAnsi="Times New Roman"/>
          <w:szCs w:val="26"/>
        </w:rPr>
        <w:t xml:space="preserve"> </w:t>
      </w:r>
      <w:r w:rsidRPr="004F228A">
        <w:rPr>
          <w:rFonts w:ascii="Times New Roman" w:hAnsi="Times New Roman"/>
          <w:szCs w:val="26"/>
        </w:rPr>
        <w:t>%. В том числе налоговых и неналоговых доходов поступило 48</w:t>
      </w:r>
      <w:r>
        <w:rPr>
          <w:rFonts w:ascii="Times New Roman" w:hAnsi="Times New Roman"/>
          <w:szCs w:val="26"/>
        </w:rPr>
        <w:t xml:space="preserve"> </w:t>
      </w:r>
      <w:r w:rsidRPr="004F228A">
        <w:rPr>
          <w:rFonts w:ascii="Times New Roman" w:hAnsi="Times New Roman"/>
          <w:szCs w:val="26"/>
        </w:rPr>
        <w:t>289,3 млн</w:t>
      </w:r>
      <w:r>
        <w:rPr>
          <w:rFonts w:ascii="Times New Roman" w:hAnsi="Times New Roman"/>
          <w:szCs w:val="26"/>
        </w:rPr>
        <w:t>.</w:t>
      </w:r>
      <w:r w:rsidRPr="004F228A">
        <w:rPr>
          <w:rFonts w:ascii="Times New Roman" w:hAnsi="Times New Roman"/>
          <w:szCs w:val="26"/>
        </w:rPr>
        <w:t xml:space="preserve"> рублей, что на 2</w:t>
      </w:r>
      <w:r>
        <w:rPr>
          <w:rFonts w:ascii="Times New Roman" w:hAnsi="Times New Roman"/>
          <w:szCs w:val="26"/>
        </w:rPr>
        <w:t xml:space="preserve"> </w:t>
      </w:r>
      <w:r w:rsidRPr="004F228A">
        <w:rPr>
          <w:rFonts w:ascii="Times New Roman" w:hAnsi="Times New Roman"/>
          <w:szCs w:val="26"/>
        </w:rPr>
        <w:t>157,9 млн</w:t>
      </w:r>
      <w:r>
        <w:rPr>
          <w:rFonts w:ascii="Times New Roman" w:hAnsi="Times New Roman"/>
          <w:szCs w:val="26"/>
        </w:rPr>
        <w:t>.</w:t>
      </w:r>
      <w:r w:rsidRPr="004F228A">
        <w:rPr>
          <w:rFonts w:ascii="Times New Roman" w:hAnsi="Times New Roman"/>
          <w:szCs w:val="26"/>
        </w:rPr>
        <w:t xml:space="preserve"> рублей, или на 4,7</w:t>
      </w:r>
      <w:r>
        <w:rPr>
          <w:rFonts w:ascii="Times New Roman" w:hAnsi="Times New Roman"/>
          <w:szCs w:val="26"/>
        </w:rPr>
        <w:t xml:space="preserve"> </w:t>
      </w:r>
      <w:r w:rsidRPr="004F228A">
        <w:rPr>
          <w:rFonts w:ascii="Times New Roman" w:hAnsi="Times New Roman"/>
          <w:szCs w:val="26"/>
        </w:rPr>
        <w:t>%, превысило поступление за 2015 год.</w:t>
      </w:r>
    </w:p>
    <w:p w:rsidR="004F228A" w:rsidRDefault="004F228A" w:rsidP="004F228A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Исполнение консолидированного бюджета по расходам за 2016 год составило 62 966,4 млн. рублей с ростом к 2015 году на 686,7 млн. рублей. Темп роста составил 101,1 %. Дефицит бюджета составил 2 031,0 млн. рублей, на финансирование которого в основном направлены бюджетные кредиты, полученные из бюджетов других уровней.</w:t>
      </w:r>
    </w:p>
    <w:p w:rsidR="004F228A" w:rsidRDefault="004F228A" w:rsidP="004F228A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Исполнение доходов областного бюджета Калужской области за 2016 год составило 48 368,5 млн. рублей, темп роста к 2015 году составил 109,3 %. В том числе поступление налоговых и неналоговых доходов составило 35 789,9 млн. рублей, что на 1 935,4 млн. рублей, или на 5,7 %, выше уровня 2015 года.</w:t>
      </w:r>
    </w:p>
    <w:p w:rsidR="004F228A" w:rsidRDefault="004F228A" w:rsidP="004F228A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Исполнение расходов областного бюджета Калужской области за 2016 год составило 50 556,6 млн. рублей, темп роста к 2015 году – 106,4 %. Дефицит бюджета составил 2 188,1 млн. рублей, на финансирование которого в основном направлены бюджетные кредиты, полученные из бюджетов других уровней.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основу формирования Долгосрочного прогноза положены: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– отдельные показатели  прогноза социально-экономического развития Калужской области на период до 2030 года, актуализированные на основании среднесрочного прогноза развития Калужской области на 2017 год и на плановый период 2018 и 2019 годов;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динамика поступлений в областной бюджет налоговых и неналоговых платежей, сборов;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данные, предоставляемые администраторами доходов бюджета о начисленных и планируемых к поступлению налоговых и неналоговых платежах, сборах.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Формирование Долгосрочного прогноза обеспечивается в условиях действующего бюджетного законодательства и законодательства о налогах и сборах, а также с учетом вносимых в плановом периоде изменений и дополнений в налоговое и бюджетное законодательство.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Бюджетная политика Калужской области на предстоящий период должна в полной мере учитывать прогнозируемые риски развития экономики и предусматривать адекватные меры по минимизации их неблагоприятного влияния на качество жизни населения области. 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Основными направлениями работы на долгосрочный период должны стать мероприятия, обеспечивающие бюджетную устойчивость и общую макроэкономическую стабильность.</w:t>
      </w:r>
    </w:p>
    <w:p w:rsidR="009B4905" w:rsidRDefault="009B4905" w:rsidP="009B4905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proofErr w:type="gramStart"/>
      <w:r>
        <w:rPr>
          <w:rFonts w:ascii="Times New Roman" w:hAnsi="Times New Roman"/>
          <w:szCs w:val="26"/>
        </w:rPr>
        <w:t>В целом долгосрочная бюджетная политика по формированию доходов бюджета будет основана на учете особенностей конкретных доходов, принадлежности того или иного налога к федеральному или региональному, степени стабильности соответствующих поступлений и их зависимости от влияния среднесрочных факторов, значимости отдельных доходов (их доли в общем объеме доходов).</w:t>
      </w:r>
      <w:proofErr w:type="gramEnd"/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обеспечение долгосрочной сбалансированности и устойчивости бюджетной системы Калужской области как базового принципа ответственной бюджетной политики;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укрепление доходной базы консолидированного бюджета Калужской области за счет наращивания стабильных доходных источников и мобилизации в бюджет имеющихся резервов;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– повышение эффективности бюджетных расходов, формирование бюджетных параметров исходя из четкой </w:t>
      </w:r>
      <w:proofErr w:type="spellStart"/>
      <w:r>
        <w:rPr>
          <w:rFonts w:ascii="Times New Roman" w:hAnsi="Times New Roman"/>
          <w:szCs w:val="26"/>
        </w:rPr>
        <w:t>приоритизации</w:t>
      </w:r>
      <w:proofErr w:type="spellEnd"/>
      <w:r>
        <w:rPr>
          <w:rFonts w:ascii="Times New Roman" w:hAnsi="Times New Roman"/>
          <w:szCs w:val="26"/>
        </w:rPr>
        <w:t xml:space="preserve"> и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ресурсов, осуществление взвешенного подхода к принятию новых расходных обязательств и сокращение неэффективных бюджетных расходов.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proofErr w:type="gramStart"/>
      <w:r>
        <w:rPr>
          <w:rFonts w:ascii="Times New Roman" w:hAnsi="Times New Roman"/>
          <w:szCs w:val="26"/>
        </w:rPr>
        <w:t>– проведение взвешенной долговой политики Калужской области, направленной на сдерживание роста государственного и муниципального долга Калужской области за счет последовательного сокращения дефицита областного и местных бюджетов, планирование и осуществление государственных заимствований исходя из необходимости безусловного исполнения расходных и долговых обязательств Калужской области, минимизацию расходов на обслуживание долговых обязательств Калужской области;</w:t>
      </w:r>
      <w:proofErr w:type="gramEnd"/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– повышение эффективности оказания государственных и муниципальных услуг, в том числе путем оптимизации структуры бюджетной сети;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повышение эффективности системы государственного (муниципального) финансового контроля, контроля в сфере закупок, внутреннего финансового контроля и внутреннего финансового аудита с целью  сокращения нарушений законодательства о контрактной системе и повышению эффективности (результативности и экономности) бюджетных расходов;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обеспечение открытости и прозрачности управления общественными финансами, в том числе за счет публикации «Бюджета для граждан» к проекту закона и закону Калужской области об областном бюджете, а также к закону об исполнении областного бюджета;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повышение эффективности финансовых взаимоотношений с местными бюджетами, в том числе с учетом прямого вовлечения населения в решение приоритетных социальных проблем местного уровня, повышение самостоятельности местных бюджетов, поддержание сбалансированности, качественное управление общественными финансами и создание комфортной среды проживания на территории Калужской области.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Бюджетная система крайне восприимчива к изменениям экономической ситуации. При формировании бюджетного прогноза необходимо в полной мере учитывать прогнозируемые риски развития экономики и предусматривать адекватные меры по минимизации их неблагоприятного влияния на финансовые показатели региона и в конечном счете на качество жизни населения Калужской области.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условиях экономической нестабильности наиболее негативными последствиями и рисками для бюджетной системы Калужской области являются: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1) превышение прогнозируемого уровня инфляции;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2) высокий уровень дефицита областного бюджета и местных бюджетов, рост государственного и муниципального долга;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3) ухудшение условий для заимствований;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4) сокращение межбюджетных трансфертов из федерального бюджета;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5) передача дополнительных расходных обязательств.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Мероприятия по  минимизации бюджетных  рисков: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1) повышение доходного потенциала Калужской области;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2) максимальное наполнение доходной части областного и местных бюджетов для осуществления социально значимых расходов (на здравоохранение, образование, социальную поддержку населения Калужской области);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3) поддержание экономически безопасного уровня государственного долга Калужской области;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4) поддержание минимально возможной стоимости обслуживания долговых обязательств Калужской области с учетом ситуации на финансовом рынке;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5) активное участие в привлечении средств федерального бюджета, в том числе в рамках государственных программ Российской Федерации.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В долгосрочном периоде необходимо продолжать работу по повышению качества управления государственными и муниципальными финансами Калужской области и эффективности использования бюджетных средств.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Ситуация в экономике существенно повлияла на поступление налоговых доходов в областной бюджет от крупных налогоплательщиков. Вместе с тем, прогноз поступления доходов в областной бюджет на период до 2028 года составлен исходя из ожидаемого постепенного восстановления экономики.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Одним из факторов, влияющим на рост доходов областного бюджета, является окончание льготного режима налогообложения по предприятиям – инвесторам, окончание льготного периода налогообложения по налогу на имущество организаций и по налогу на прибыль организаций по предприятиям, осуществляющим программы модернизации производства. </w:t>
      </w:r>
    </w:p>
    <w:p w:rsidR="009B4905" w:rsidRDefault="009B4905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Ожидается, что рост налоговых доходов будет обеспечен за счет увеличения поступления налога на доходы физических лиц в связи с ростом фонда заработной платы, налога на прибыль, налога на имущество организаций, акцизов на алкогольную продукцию. </w:t>
      </w:r>
    </w:p>
    <w:p w:rsidR="009450CB" w:rsidRPr="004F228A" w:rsidRDefault="009450CB" w:rsidP="000C444D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4F228A">
        <w:rPr>
          <w:rFonts w:ascii="Times New Roman" w:hAnsi="Times New Roman"/>
          <w:szCs w:val="26"/>
        </w:rPr>
        <w:t xml:space="preserve">Долговая политика Калужской области направлена на уменьшение государственного долга </w:t>
      </w:r>
      <w:r w:rsidR="00A40AF9" w:rsidRPr="004F228A">
        <w:rPr>
          <w:rFonts w:ascii="Times New Roman" w:hAnsi="Times New Roman"/>
          <w:szCs w:val="26"/>
        </w:rPr>
        <w:t>и</w:t>
      </w:r>
      <w:r w:rsidRPr="004F228A">
        <w:rPr>
          <w:rFonts w:ascii="Times New Roman" w:hAnsi="Times New Roman"/>
          <w:szCs w:val="26"/>
        </w:rPr>
        <w:t xml:space="preserve"> сокращение расходов на его обслуживание.</w:t>
      </w:r>
    </w:p>
    <w:p w:rsidR="00FC543D" w:rsidRPr="004F228A" w:rsidRDefault="00FC543D" w:rsidP="00FC543D">
      <w:pPr>
        <w:spacing w:after="120"/>
        <w:ind w:firstLine="709"/>
        <w:jc w:val="both"/>
        <w:rPr>
          <w:rFonts w:ascii="Times New Roman" w:hAnsi="Times New Roman"/>
          <w:szCs w:val="26"/>
        </w:rPr>
      </w:pPr>
      <w:proofErr w:type="gramStart"/>
      <w:r w:rsidRPr="004F228A">
        <w:rPr>
          <w:rFonts w:ascii="Times New Roman" w:hAnsi="Times New Roman"/>
          <w:szCs w:val="26"/>
        </w:rPr>
        <w:t>В соответствии с постановлением Правительства Российской Федерации от 13</w:t>
      </w:r>
      <w:r w:rsidR="004F228A" w:rsidRPr="004F228A">
        <w:rPr>
          <w:rFonts w:ascii="Times New Roman" w:hAnsi="Times New Roman"/>
          <w:szCs w:val="26"/>
        </w:rPr>
        <w:t>.12.</w:t>
      </w:r>
      <w:r w:rsidRPr="004F228A">
        <w:rPr>
          <w:rFonts w:ascii="Times New Roman" w:hAnsi="Times New Roman"/>
          <w:szCs w:val="26"/>
        </w:rPr>
        <w:t>2017 г.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 в декабре 2017 года заключен</w:t>
      </w:r>
      <w:r w:rsidR="00EB7D74" w:rsidRPr="004F228A">
        <w:rPr>
          <w:rFonts w:ascii="Times New Roman" w:hAnsi="Times New Roman"/>
          <w:szCs w:val="26"/>
        </w:rPr>
        <w:t>ы</w:t>
      </w:r>
      <w:r w:rsidRPr="004F228A">
        <w:rPr>
          <w:rFonts w:ascii="Times New Roman" w:hAnsi="Times New Roman"/>
          <w:szCs w:val="26"/>
        </w:rPr>
        <w:t xml:space="preserve"> дополнительные соглашения к соглашениям о предоставлении бюджету Калужской области бюджетных кредитов для частичного покрытия дефицита бюджета Калужской области.</w:t>
      </w:r>
      <w:proofErr w:type="gramEnd"/>
      <w:r w:rsidR="004628A3" w:rsidRPr="004F228A">
        <w:rPr>
          <w:rFonts w:ascii="Times New Roman" w:hAnsi="Times New Roman"/>
          <w:szCs w:val="26"/>
        </w:rPr>
        <w:t xml:space="preserve"> В связи с этим долговая политика Калужской области определена с учетом проведенной реструктуризации.</w:t>
      </w:r>
    </w:p>
    <w:p w:rsidR="00FC543D" w:rsidRPr="00931293" w:rsidRDefault="00FC543D" w:rsidP="00FC543D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931293">
        <w:rPr>
          <w:rFonts w:ascii="Times New Roman" w:hAnsi="Times New Roman"/>
          <w:szCs w:val="26"/>
        </w:rPr>
        <w:t>По состоянию на 1 января 2018 года основной объем государственного долга составляют бюджетные кредиты из федерального бюджета (98 процентов).</w:t>
      </w:r>
    </w:p>
    <w:p w:rsidR="00931293" w:rsidRPr="00931293" w:rsidRDefault="00931293" w:rsidP="00931293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931293">
        <w:rPr>
          <w:rFonts w:ascii="Times New Roman" w:hAnsi="Times New Roman"/>
          <w:szCs w:val="26"/>
        </w:rPr>
        <w:t>При этом планируется, что объем государственного долга Калужской области</w:t>
      </w:r>
      <w:r>
        <w:rPr>
          <w:rFonts w:ascii="Times New Roman" w:hAnsi="Times New Roman"/>
          <w:szCs w:val="26"/>
        </w:rPr>
        <w:t xml:space="preserve">              </w:t>
      </w:r>
      <w:r w:rsidRPr="00931293">
        <w:rPr>
          <w:rFonts w:ascii="Times New Roman" w:hAnsi="Times New Roman"/>
          <w:szCs w:val="26"/>
        </w:rPr>
        <w:t xml:space="preserve"> с 1 января 2022 года не превысит 50 % от прогнозируемого объема собственных доходов областного бюджета.</w:t>
      </w:r>
    </w:p>
    <w:p w:rsidR="009B4905" w:rsidRDefault="00740F24" w:rsidP="009B4905">
      <w:pPr>
        <w:spacing w:after="120"/>
        <w:ind w:firstLine="709"/>
        <w:jc w:val="both"/>
        <w:rPr>
          <w:rFonts w:ascii="Times New Roman" w:hAnsi="Times New Roman"/>
          <w:szCs w:val="26"/>
        </w:rPr>
      </w:pPr>
      <w:hyperlink r:id="rId9" w:history="1">
        <w:r w:rsidR="009B4905" w:rsidRPr="00C227A0">
          <w:rPr>
            <w:rFonts w:ascii="Times New Roman" w:hAnsi="Times New Roman"/>
            <w:szCs w:val="26"/>
          </w:rPr>
          <w:t>Прогноз</w:t>
        </w:r>
      </w:hyperlink>
      <w:r w:rsidR="009B4905">
        <w:rPr>
          <w:rFonts w:ascii="Times New Roman" w:hAnsi="Times New Roman"/>
          <w:szCs w:val="26"/>
        </w:rPr>
        <w:t xml:space="preserve"> основных характеристик областного и консолидированного бюджетов Калужской области и иных показателей, характеризующих областной бюджет, на долгосрочный период</w:t>
      </w:r>
      <w:r w:rsidR="00931293">
        <w:rPr>
          <w:rFonts w:ascii="Times New Roman" w:hAnsi="Times New Roman"/>
          <w:szCs w:val="26"/>
        </w:rPr>
        <w:t xml:space="preserve"> </w:t>
      </w:r>
      <w:r w:rsidR="009B4905">
        <w:rPr>
          <w:rFonts w:ascii="Times New Roman" w:hAnsi="Times New Roman"/>
          <w:szCs w:val="26"/>
        </w:rPr>
        <w:t>представлен в разделах II-V Долгосрочного прогноза.</w:t>
      </w:r>
    </w:p>
    <w:p w:rsidR="009B4905" w:rsidRDefault="009B4905" w:rsidP="00C227A0">
      <w:pPr>
        <w:spacing w:after="120"/>
        <w:ind w:firstLine="709"/>
        <w:jc w:val="both"/>
        <w:rPr>
          <w:rFonts w:ascii="Times New Roman" w:hAnsi="Times New Roman"/>
          <w:szCs w:val="26"/>
        </w:rPr>
      </w:pPr>
    </w:p>
    <w:sectPr w:rsidR="009B4905" w:rsidSect="00740F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851" w:bottom="851" w:left="1134" w:header="426" w:footer="380" w:gutter="0"/>
      <w:pgNumType w:start="76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8A" w:rsidRDefault="004F228A">
      <w:r>
        <w:separator/>
      </w:r>
    </w:p>
  </w:endnote>
  <w:endnote w:type="continuationSeparator" w:id="0">
    <w:p w:rsidR="004F228A" w:rsidRDefault="004F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Zhikary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8A" w:rsidRDefault="004F228A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228A" w:rsidRDefault="004F228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8A" w:rsidRDefault="004F228A">
    <w:pPr>
      <w:pStyle w:val="a6"/>
      <w:ind w:right="360"/>
      <w:rPr>
        <w:rFonts w:ascii="Times New Roman" w:hAnsi="Times New Roman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8A" w:rsidRDefault="004F228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8A" w:rsidRDefault="004F228A">
      <w:r>
        <w:separator/>
      </w:r>
    </w:p>
  </w:footnote>
  <w:footnote w:type="continuationSeparator" w:id="0">
    <w:p w:rsidR="004F228A" w:rsidRDefault="004F2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8A" w:rsidRDefault="004F22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228A" w:rsidRDefault="004F22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1649872547"/>
      <w:docPartObj>
        <w:docPartGallery w:val="Page Numbers (Top of Page)"/>
        <w:docPartUnique/>
      </w:docPartObj>
    </w:sdtPr>
    <w:sdtEndPr/>
    <w:sdtContent>
      <w:p w:rsidR="00C227A0" w:rsidRPr="00C227A0" w:rsidRDefault="00C227A0">
        <w:pPr>
          <w:pStyle w:val="a3"/>
          <w:jc w:val="right"/>
          <w:rPr>
            <w:rFonts w:ascii="Times New Roman" w:hAnsi="Times New Roman"/>
          </w:rPr>
        </w:pPr>
        <w:r w:rsidRPr="00C227A0">
          <w:rPr>
            <w:rFonts w:ascii="Times New Roman" w:hAnsi="Times New Roman"/>
          </w:rPr>
          <w:fldChar w:fldCharType="begin"/>
        </w:r>
        <w:r w:rsidRPr="00C227A0">
          <w:rPr>
            <w:rFonts w:ascii="Times New Roman" w:hAnsi="Times New Roman"/>
          </w:rPr>
          <w:instrText>PAGE   \* MERGEFORMAT</w:instrText>
        </w:r>
        <w:r w:rsidRPr="00C227A0">
          <w:rPr>
            <w:rFonts w:ascii="Times New Roman" w:hAnsi="Times New Roman"/>
          </w:rPr>
          <w:fldChar w:fldCharType="separate"/>
        </w:r>
        <w:r w:rsidR="00740F24">
          <w:rPr>
            <w:rFonts w:ascii="Times New Roman" w:hAnsi="Times New Roman"/>
            <w:noProof/>
          </w:rPr>
          <w:t>764</w:t>
        </w:r>
        <w:r w:rsidRPr="00C227A0">
          <w:rPr>
            <w:rFonts w:ascii="Times New Roman" w:hAnsi="Times New Roman"/>
          </w:rPr>
          <w:fldChar w:fldCharType="end"/>
        </w:r>
      </w:p>
    </w:sdtContent>
  </w:sdt>
  <w:p w:rsidR="00C227A0" w:rsidRDefault="00C227A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1319489952"/>
      <w:docPartObj>
        <w:docPartGallery w:val="Page Numbers (Top of Page)"/>
        <w:docPartUnique/>
      </w:docPartObj>
    </w:sdtPr>
    <w:sdtEndPr/>
    <w:sdtContent>
      <w:p w:rsidR="00C227A0" w:rsidRPr="00C227A0" w:rsidRDefault="00C227A0">
        <w:pPr>
          <w:pStyle w:val="a3"/>
          <w:jc w:val="right"/>
          <w:rPr>
            <w:rFonts w:ascii="Times New Roman" w:hAnsi="Times New Roman"/>
          </w:rPr>
        </w:pPr>
        <w:r w:rsidRPr="00C227A0">
          <w:rPr>
            <w:rFonts w:ascii="Times New Roman" w:hAnsi="Times New Roman"/>
          </w:rPr>
          <w:fldChar w:fldCharType="begin"/>
        </w:r>
        <w:r w:rsidRPr="00C227A0">
          <w:rPr>
            <w:rFonts w:ascii="Times New Roman" w:hAnsi="Times New Roman"/>
          </w:rPr>
          <w:instrText>PAGE   \* MERGEFORMAT</w:instrText>
        </w:r>
        <w:r w:rsidRPr="00C227A0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C227A0">
          <w:rPr>
            <w:rFonts w:ascii="Times New Roman" w:hAnsi="Times New Roman"/>
          </w:rPr>
          <w:fldChar w:fldCharType="end"/>
        </w:r>
      </w:p>
    </w:sdtContent>
  </w:sdt>
  <w:p w:rsidR="00C227A0" w:rsidRDefault="00C227A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6AE0"/>
    <w:multiLevelType w:val="hybridMultilevel"/>
    <w:tmpl w:val="885C9CAE"/>
    <w:lvl w:ilvl="0" w:tplc="B55AAD3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157B32C7"/>
    <w:multiLevelType w:val="hybridMultilevel"/>
    <w:tmpl w:val="6F2E9C04"/>
    <w:lvl w:ilvl="0" w:tplc="6E5E943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2E68A2"/>
    <w:multiLevelType w:val="hybridMultilevel"/>
    <w:tmpl w:val="EE20D934"/>
    <w:lvl w:ilvl="0" w:tplc="DE04D57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0B44B1F"/>
    <w:multiLevelType w:val="multilevel"/>
    <w:tmpl w:val="4F5E2D5C"/>
    <w:lvl w:ilvl="0">
      <w:start w:val="1"/>
      <w:numFmt w:val="decimal"/>
      <w:lvlText w:val="%1."/>
      <w:lvlJc w:val="left"/>
      <w:pPr>
        <w:ind w:left="1549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2F922487"/>
    <w:multiLevelType w:val="multilevel"/>
    <w:tmpl w:val="F05C967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33CC564F"/>
    <w:multiLevelType w:val="hybridMultilevel"/>
    <w:tmpl w:val="8496EAA0"/>
    <w:lvl w:ilvl="0" w:tplc="12802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282F02"/>
    <w:multiLevelType w:val="hybridMultilevel"/>
    <w:tmpl w:val="406E2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A51B2"/>
    <w:multiLevelType w:val="hybridMultilevel"/>
    <w:tmpl w:val="97006A3E"/>
    <w:lvl w:ilvl="0" w:tplc="6960E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43676"/>
    <w:multiLevelType w:val="hybridMultilevel"/>
    <w:tmpl w:val="A460896C"/>
    <w:lvl w:ilvl="0" w:tplc="EAFA3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2952A9D"/>
    <w:multiLevelType w:val="hybridMultilevel"/>
    <w:tmpl w:val="23B64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AD2FD9"/>
    <w:multiLevelType w:val="multilevel"/>
    <w:tmpl w:val="E040AD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79102A68"/>
    <w:multiLevelType w:val="hybridMultilevel"/>
    <w:tmpl w:val="BB0A0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4"/>
  </w:num>
  <w:num w:numId="9">
    <w:abstractNumId w:val="8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ED"/>
    <w:rsid w:val="00001605"/>
    <w:rsid w:val="00004F74"/>
    <w:rsid w:val="00006FFF"/>
    <w:rsid w:val="00012D84"/>
    <w:rsid w:val="00013668"/>
    <w:rsid w:val="0001517C"/>
    <w:rsid w:val="00022397"/>
    <w:rsid w:val="0002286D"/>
    <w:rsid w:val="00045574"/>
    <w:rsid w:val="00090156"/>
    <w:rsid w:val="00096CFD"/>
    <w:rsid w:val="000A6B76"/>
    <w:rsid w:val="000B1D62"/>
    <w:rsid w:val="000B265A"/>
    <w:rsid w:val="000B60C2"/>
    <w:rsid w:val="000B6703"/>
    <w:rsid w:val="000B72F6"/>
    <w:rsid w:val="000B77E4"/>
    <w:rsid w:val="000C444D"/>
    <w:rsid w:val="000D5892"/>
    <w:rsid w:val="000D7A38"/>
    <w:rsid w:val="000E2A84"/>
    <w:rsid w:val="000E6011"/>
    <w:rsid w:val="000F0684"/>
    <w:rsid w:val="000F1B92"/>
    <w:rsid w:val="000F3B42"/>
    <w:rsid w:val="001020C5"/>
    <w:rsid w:val="001056B2"/>
    <w:rsid w:val="001122FB"/>
    <w:rsid w:val="00113F62"/>
    <w:rsid w:val="00120863"/>
    <w:rsid w:val="001255C5"/>
    <w:rsid w:val="001305CC"/>
    <w:rsid w:val="0013122F"/>
    <w:rsid w:val="001312CE"/>
    <w:rsid w:val="0013368D"/>
    <w:rsid w:val="00134C6F"/>
    <w:rsid w:val="00145BED"/>
    <w:rsid w:val="0016739B"/>
    <w:rsid w:val="00171E5E"/>
    <w:rsid w:val="00174B28"/>
    <w:rsid w:val="001815BB"/>
    <w:rsid w:val="001A0AAD"/>
    <w:rsid w:val="001A21B4"/>
    <w:rsid w:val="001A6C17"/>
    <w:rsid w:val="001B1F44"/>
    <w:rsid w:val="001B6613"/>
    <w:rsid w:val="001C6795"/>
    <w:rsid w:val="001E61E9"/>
    <w:rsid w:val="001F6BA8"/>
    <w:rsid w:val="001F7170"/>
    <w:rsid w:val="001F76A4"/>
    <w:rsid w:val="002014AB"/>
    <w:rsid w:val="002025A7"/>
    <w:rsid w:val="00207D6C"/>
    <w:rsid w:val="002172D7"/>
    <w:rsid w:val="00222A33"/>
    <w:rsid w:val="002326EE"/>
    <w:rsid w:val="0024286E"/>
    <w:rsid w:val="002469B4"/>
    <w:rsid w:val="00250EB1"/>
    <w:rsid w:val="00254C7C"/>
    <w:rsid w:val="00273212"/>
    <w:rsid w:val="002A2ED0"/>
    <w:rsid w:val="002C5B05"/>
    <w:rsid w:val="002D70BA"/>
    <w:rsid w:val="002E65EA"/>
    <w:rsid w:val="002F5518"/>
    <w:rsid w:val="00306791"/>
    <w:rsid w:val="003134B2"/>
    <w:rsid w:val="00325434"/>
    <w:rsid w:val="003258BC"/>
    <w:rsid w:val="00327AF7"/>
    <w:rsid w:val="0033197D"/>
    <w:rsid w:val="00340732"/>
    <w:rsid w:val="00341248"/>
    <w:rsid w:val="003416D0"/>
    <w:rsid w:val="00355008"/>
    <w:rsid w:val="00366D77"/>
    <w:rsid w:val="00376F3E"/>
    <w:rsid w:val="00387CB3"/>
    <w:rsid w:val="003A2AF5"/>
    <w:rsid w:val="003C120C"/>
    <w:rsid w:val="003E012F"/>
    <w:rsid w:val="003E0B66"/>
    <w:rsid w:val="003E611D"/>
    <w:rsid w:val="003E7B6A"/>
    <w:rsid w:val="00403056"/>
    <w:rsid w:val="004075CD"/>
    <w:rsid w:val="00412C55"/>
    <w:rsid w:val="00416567"/>
    <w:rsid w:val="004175B1"/>
    <w:rsid w:val="00417BAD"/>
    <w:rsid w:val="0042277E"/>
    <w:rsid w:val="00434617"/>
    <w:rsid w:val="004431C6"/>
    <w:rsid w:val="0044502C"/>
    <w:rsid w:val="00447BCB"/>
    <w:rsid w:val="0046261D"/>
    <w:rsid w:val="004628A3"/>
    <w:rsid w:val="00472EA5"/>
    <w:rsid w:val="004772B7"/>
    <w:rsid w:val="00485F1E"/>
    <w:rsid w:val="0048652A"/>
    <w:rsid w:val="004A518D"/>
    <w:rsid w:val="004B1DE8"/>
    <w:rsid w:val="004B6664"/>
    <w:rsid w:val="004C6366"/>
    <w:rsid w:val="004D4A94"/>
    <w:rsid w:val="004F228A"/>
    <w:rsid w:val="0050166F"/>
    <w:rsid w:val="0050504C"/>
    <w:rsid w:val="00511D9B"/>
    <w:rsid w:val="005157C9"/>
    <w:rsid w:val="00517969"/>
    <w:rsid w:val="00541EBF"/>
    <w:rsid w:val="00543000"/>
    <w:rsid w:val="00544C01"/>
    <w:rsid w:val="0054648A"/>
    <w:rsid w:val="00574623"/>
    <w:rsid w:val="00576349"/>
    <w:rsid w:val="00591B56"/>
    <w:rsid w:val="00596D18"/>
    <w:rsid w:val="005B035C"/>
    <w:rsid w:val="005B19F0"/>
    <w:rsid w:val="005B5D53"/>
    <w:rsid w:val="005C4390"/>
    <w:rsid w:val="005D54E9"/>
    <w:rsid w:val="005D5828"/>
    <w:rsid w:val="005D615E"/>
    <w:rsid w:val="005D774F"/>
    <w:rsid w:val="005D7916"/>
    <w:rsid w:val="005E2DDD"/>
    <w:rsid w:val="005F3D9E"/>
    <w:rsid w:val="00616406"/>
    <w:rsid w:val="0062417F"/>
    <w:rsid w:val="006254ED"/>
    <w:rsid w:val="00643BEB"/>
    <w:rsid w:val="00652E91"/>
    <w:rsid w:val="00653123"/>
    <w:rsid w:val="00666F6D"/>
    <w:rsid w:val="00675015"/>
    <w:rsid w:val="00681962"/>
    <w:rsid w:val="006B2105"/>
    <w:rsid w:val="006B6407"/>
    <w:rsid w:val="006B7F04"/>
    <w:rsid w:val="006C49CD"/>
    <w:rsid w:val="006D0157"/>
    <w:rsid w:val="006F1799"/>
    <w:rsid w:val="00702A85"/>
    <w:rsid w:val="007148F4"/>
    <w:rsid w:val="007200CC"/>
    <w:rsid w:val="007273FB"/>
    <w:rsid w:val="00731BFB"/>
    <w:rsid w:val="00740F24"/>
    <w:rsid w:val="00742A99"/>
    <w:rsid w:val="00745B76"/>
    <w:rsid w:val="00760379"/>
    <w:rsid w:val="00761E4D"/>
    <w:rsid w:val="00763028"/>
    <w:rsid w:val="007A0715"/>
    <w:rsid w:val="007A440E"/>
    <w:rsid w:val="007C07F5"/>
    <w:rsid w:val="007C0A2C"/>
    <w:rsid w:val="007C5D56"/>
    <w:rsid w:val="007D28CD"/>
    <w:rsid w:val="007F656A"/>
    <w:rsid w:val="00811646"/>
    <w:rsid w:val="00813E4E"/>
    <w:rsid w:val="008154BE"/>
    <w:rsid w:val="0082482C"/>
    <w:rsid w:val="00826A3D"/>
    <w:rsid w:val="00844179"/>
    <w:rsid w:val="0084577F"/>
    <w:rsid w:val="00861D5D"/>
    <w:rsid w:val="008679E9"/>
    <w:rsid w:val="00872382"/>
    <w:rsid w:val="00890D51"/>
    <w:rsid w:val="008B77BA"/>
    <w:rsid w:val="008D6BE6"/>
    <w:rsid w:val="008E338C"/>
    <w:rsid w:val="008F6376"/>
    <w:rsid w:val="0090032D"/>
    <w:rsid w:val="00907766"/>
    <w:rsid w:val="00912697"/>
    <w:rsid w:val="00915C33"/>
    <w:rsid w:val="00917378"/>
    <w:rsid w:val="00931293"/>
    <w:rsid w:val="00932E53"/>
    <w:rsid w:val="009450CB"/>
    <w:rsid w:val="009524C8"/>
    <w:rsid w:val="0095333A"/>
    <w:rsid w:val="00966363"/>
    <w:rsid w:val="00974A39"/>
    <w:rsid w:val="00974D9E"/>
    <w:rsid w:val="009912E6"/>
    <w:rsid w:val="009A01E1"/>
    <w:rsid w:val="009B4905"/>
    <w:rsid w:val="009C34BE"/>
    <w:rsid w:val="009C3B20"/>
    <w:rsid w:val="009E0229"/>
    <w:rsid w:val="009E10DC"/>
    <w:rsid w:val="009E4833"/>
    <w:rsid w:val="009E52D3"/>
    <w:rsid w:val="009E5481"/>
    <w:rsid w:val="009F0740"/>
    <w:rsid w:val="00A251C3"/>
    <w:rsid w:val="00A2726B"/>
    <w:rsid w:val="00A31F63"/>
    <w:rsid w:val="00A3324C"/>
    <w:rsid w:val="00A36FA2"/>
    <w:rsid w:val="00A40AF9"/>
    <w:rsid w:val="00A5773E"/>
    <w:rsid w:val="00A67C4E"/>
    <w:rsid w:val="00A74DA7"/>
    <w:rsid w:val="00A81CB3"/>
    <w:rsid w:val="00A8697D"/>
    <w:rsid w:val="00AA73DF"/>
    <w:rsid w:val="00AD0E72"/>
    <w:rsid w:val="00AD5648"/>
    <w:rsid w:val="00AD6D87"/>
    <w:rsid w:val="00B03812"/>
    <w:rsid w:val="00B07A0E"/>
    <w:rsid w:val="00B203BF"/>
    <w:rsid w:val="00B50E91"/>
    <w:rsid w:val="00B60BEE"/>
    <w:rsid w:val="00B8597D"/>
    <w:rsid w:val="00B8685B"/>
    <w:rsid w:val="00BA7B69"/>
    <w:rsid w:val="00BB2B2C"/>
    <w:rsid w:val="00BC1D48"/>
    <w:rsid w:val="00BD20C6"/>
    <w:rsid w:val="00BD6E35"/>
    <w:rsid w:val="00C227A0"/>
    <w:rsid w:val="00C249DB"/>
    <w:rsid w:val="00C30113"/>
    <w:rsid w:val="00C31099"/>
    <w:rsid w:val="00C42936"/>
    <w:rsid w:val="00C52D75"/>
    <w:rsid w:val="00C66E04"/>
    <w:rsid w:val="00C74906"/>
    <w:rsid w:val="00C753D3"/>
    <w:rsid w:val="00C77F40"/>
    <w:rsid w:val="00C87D93"/>
    <w:rsid w:val="00C914E0"/>
    <w:rsid w:val="00CA79A5"/>
    <w:rsid w:val="00D039BF"/>
    <w:rsid w:val="00D10DBC"/>
    <w:rsid w:val="00D13A1F"/>
    <w:rsid w:val="00D2623C"/>
    <w:rsid w:val="00D43FF9"/>
    <w:rsid w:val="00D50B80"/>
    <w:rsid w:val="00D557C4"/>
    <w:rsid w:val="00D7556A"/>
    <w:rsid w:val="00D94E0B"/>
    <w:rsid w:val="00D95352"/>
    <w:rsid w:val="00D9660D"/>
    <w:rsid w:val="00DC2D3B"/>
    <w:rsid w:val="00DC7088"/>
    <w:rsid w:val="00DC717C"/>
    <w:rsid w:val="00DC79C3"/>
    <w:rsid w:val="00DD2240"/>
    <w:rsid w:val="00DE4287"/>
    <w:rsid w:val="00E00089"/>
    <w:rsid w:val="00E00E2C"/>
    <w:rsid w:val="00E0235E"/>
    <w:rsid w:val="00E0325B"/>
    <w:rsid w:val="00E039C2"/>
    <w:rsid w:val="00E055D8"/>
    <w:rsid w:val="00E30A7D"/>
    <w:rsid w:val="00E4613E"/>
    <w:rsid w:val="00E5001D"/>
    <w:rsid w:val="00E542D7"/>
    <w:rsid w:val="00E74DEE"/>
    <w:rsid w:val="00E75074"/>
    <w:rsid w:val="00E80A88"/>
    <w:rsid w:val="00E84E98"/>
    <w:rsid w:val="00E851AE"/>
    <w:rsid w:val="00E85630"/>
    <w:rsid w:val="00EA2316"/>
    <w:rsid w:val="00EA2675"/>
    <w:rsid w:val="00EA61B8"/>
    <w:rsid w:val="00EB2946"/>
    <w:rsid w:val="00EB795A"/>
    <w:rsid w:val="00EB7D74"/>
    <w:rsid w:val="00EC2B20"/>
    <w:rsid w:val="00EC40D8"/>
    <w:rsid w:val="00F00A5F"/>
    <w:rsid w:val="00F017B2"/>
    <w:rsid w:val="00F17676"/>
    <w:rsid w:val="00F20D17"/>
    <w:rsid w:val="00F23D30"/>
    <w:rsid w:val="00F45EB1"/>
    <w:rsid w:val="00F53C10"/>
    <w:rsid w:val="00F72109"/>
    <w:rsid w:val="00F80E67"/>
    <w:rsid w:val="00F90C5B"/>
    <w:rsid w:val="00F9168D"/>
    <w:rsid w:val="00F94813"/>
    <w:rsid w:val="00F967B7"/>
    <w:rsid w:val="00F973F4"/>
    <w:rsid w:val="00FA1ED6"/>
    <w:rsid w:val="00FA5750"/>
    <w:rsid w:val="00FB1E99"/>
    <w:rsid w:val="00FB5445"/>
    <w:rsid w:val="00FC543D"/>
    <w:rsid w:val="00FC7796"/>
    <w:rsid w:val="00FE73C9"/>
    <w:rsid w:val="00FF0CEE"/>
    <w:rsid w:val="00FF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Zhikaryov" w:eastAsia="Zhikaryov" w:hAnsi="Zhikaryov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7C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uiPriority w:val="99"/>
    <w:rsid w:val="007D28CD"/>
    <w:rPr>
      <w:sz w:val="26"/>
    </w:rPr>
  </w:style>
  <w:style w:type="paragraph" w:styleId="a9">
    <w:name w:val="Balloon Text"/>
    <w:basedOn w:val="a"/>
    <w:link w:val="aa"/>
    <w:rsid w:val="00BA7B6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A7B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B265A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Normal">
    <w:name w:val="ConsPlusNormal"/>
    <w:rsid w:val="00643BEB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styleId="ab">
    <w:name w:val="Hyperlink"/>
    <w:uiPriority w:val="99"/>
    <w:unhideWhenUsed/>
    <w:rsid w:val="00643BEB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9E52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juscontext">
    <w:name w:val="juscontext"/>
    <w:basedOn w:val="a"/>
    <w:rsid w:val="00E84E9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Нижний колонтитул Знак"/>
    <w:link w:val="a6"/>
    <w:rsid w:val="00974D9E"/>
    <w:rPr>
      <w:sz w:val="26"/>
    </w:rPr>
  </w:style>
  <w:style w:type="character" w:styleId="ad">
    <w:name w:val="FollowedHyperlink"/>
    <w:rsid w:val="009B4905"/>
    <w:rPr>
      <w:color w:val="800080"/>
      <w:u w:val="single"/>
    </w:rPr>
  </w:style>
  <w:style w:type="paragraph" w:styleId="2">
    <w:name w:val="Body Text Indent 2"/>
    <w:basedOn w:val="a"/>
    <w:link w:val="20"/>
    <w:unhideWhenUsed/>
    <w:rsid w:val="00327AF7"/>
    <w:pPr>
      <w:spacing w:before="120" w:line="240" w:lineRule="atLeast"/>
      <w:ind w:firstLine="720"/>
      <w:jc w:val="both"/>
    </w:pPr>
    <w:rPr>
      <w:rFonts w:ascii="Times New Roman" w:eastAsia="Times New Roman" w:hAnsi="Times New Roman"/>
    </w:rPr>
  </w:style>
  <w:style w:type="character" w:customStyle="1" w:styleId="20">
    <w:name w:val="Основной текст с отступом 2 Знак"/>
    <w:link w:val="2"/>
    <w:rsid w:val="00327AF7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Zhikaryov" w:eastAsia="Zhikaryov" w:hAnsi="Zhikaryov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7C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uiPriority w:val="99"/>
    <w:rsid w:val="007D28CD"/>
    <w:rPr>
      <w:sz w:val="26"/>
    </w:rPr>
  </w:style>
  <w:style w:type="paragraph" w:styleId="a9">
    <w:name w:val="Balloon Text"/>
    <w:basedOn w:val="a"/>
    <w:link w:val="aa"/>
    <w:rsid w:val="00BA7B6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A7B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B265A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Normal">
    <w:name w:val="ConsPlusNormal"/>
    <w:rsid w:val="00643BEB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styleId="ab">
    <w:name w:val="Hyperlink"/>
    <w:uiPriority w:val="99"/>
    <w:unhideWhenUsed/>
    <w:rsid w:val="00643BEB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9E52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juscontext">
    <w:name w:val="juscontext"/>
    <w:basedOn w:val="a"/>
    <w:rsid w:val="00E84E9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Нижний колонтитул Знак"/>
    <w:link w:val="a6"/>
    <w:rsid w:val="00974D9E"/>
    <w:rPr>
      <w:sz w:val="26"/>
    </w:rPr>
  </w:style>
  <w:style w:type="character" w:styleId="ad">
    <w:name w:val="FollowedHyperlink"/>
    <w:rsid w:val="009B4905"/>
    <w:rPr>
      <w:color w:val="800080"/>
      <w:u w:val="single"/>
    </w:rPr>
  </w:style>
  <w:style w:type="paragraph" w:styleId="2">
    <w:name w:val="Body Text Indent 2"/>
    <w:basedOn w:val="a"/>
    <w:link w:val="20"/>
    <w:unhideWhenUsed/>
    <w:rsid w:val="00327AF7"/>
    <w:pPr>
      <w:spacing w:before="120" w:line="240" w:lineRule="atLeast"/>
      <w:ind w:firstLine="720"/>
      <w:jc w:val="both"/>
    </w:pPr>
    <w:rPr>
      <w:rFonts w:ascii="Times New Roman" w:eastAsia="Times New Roman" w:hAnsi="Times New Roman"/>
    </w:rPr>
  </w:style>
  <w:style w:type="character" w:customStyle="1" w:styleId="20">
    <w:name w:val="Основной текст с отступом 2 Знак"/>
    <w:link w:val="2"/>
    <w:rsid w:val="00327AF7"/>
    <w:rPr>
      <w:rFonts w:ascii="Times New Roman" w:eastAsia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651FD5109FE7EB108A3AC8DC3494F59B422B7394C34C444D3D0130FB1D6DDB6A9B010EE3AEAF57026C2B91BAV6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6B2AB-6F3E-43EC-B0FD-5D9EEB6C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10581</CharactersWithSpaces>
  <SharedDoc>false</SharedDoc>
  <HLinks>
    <vt:vector size="6" baseType="variant"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consultantplus://offline/ref=EB651FD5109FE7EB108A3AC8DC3494F59B422B7394C34C444D3D0130FB1D6DDB6A9B010EE3AEAF57026C2B91BAV6L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Lobach IA.</dc:creator>
  <cp:lastModifiedBy>Danilova MG.</cp:lastModifiedBy>
  <cp:revision>4</cp:revision>
  <cp:lastPrinted>2018-10-31T08:17:00Z</cp:lastPrinted>
  <dcterms:created xsi:type="dcterms:W3CDTF">2018-10-16T07:35:00Z</dcterms:created>
  <dcterms:modified xsi:type="dcterms:W3CDTF">2018-10-31T08:17:00Z</dcterms:modified>
</cp:coreProperties>
</file>